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CE4B" w14:textId="77777777" w:rsidR="009B76EB" w:rsidRPr="009B76EB" w:rsidRDefault="009B76EB" w:rsidP="00F8325D">
      <w:pPr>
        <w:pStyle w:val="pf0"/>
        <w:adjustRightInd w:val="0"/>
        <w:snapToGrid w:val="0"/>
        <w:spacing w:before="0" w:beforeAutospacing="0" w:after="0" w:afterAutospacing="0"/>
        <w:jc w:val="center"/>
        <w:rPr>
          <w:rStyle w:val="cf01"/>
          <w:rFonts w:ascii="Arial" w:eastAsiaTheme="minorEastAsia" w:hAnsi="Arial" w:cs="Arial"/>
          <w:bCs w:val="0"/>
          <w:sz w:val="28"/>
          <w:szCs w:val="28"/>
          <w:lang w:eastAsia="ja-JP"/>
        </w:rPr>
      </w:pPr>
      <w:r w:rsidRPr="009B76EB">
        <w:rPr>
          <w:rStyle w:val="cf01"/>
          <w:rFonts w:ascii="Arial" w:eastAsiaTheme="minorEastAsia" w:hAnsi="Arial" w:cs="Arial"/>
          <w:sz w:val="28"/>
          <w:szCs w:val="28"/>
          <w:lang w:eastAsia="ja-JP"/>
        </w:rPr>
        <w:t>The role of alfalfa in the transition to organic rice production on farms in Camargue, France</w:t>
      </w:r>
    </w:p>
    <w:p w14:paraId="05B7E200" w14:textId="77777777" w:rsidR="009B76EB" w:rsidRPr="009B76EB" w:rsidRDefault="009B76EB" w:rsidP="00F8325D">
      <w:pPr>
        <w:pStyle w:val="pf0"/>
        <w:adjustRightInd w:val="0"/>
        <w:snapToGrid w:val="0"/>
        <w:spacing w:before="0" w:beforeAutospacing="0" w:after="0" w:afterAutospacing="0"/>
        <w:jc w:val="both"/>
        <w:rPr>
          <w:rStyle w:val="cf01"/>
          <w:rFonts w:ascii="Arial" w:eastAsiaTheme="minorEastAsia" w:hAnsi="Arial" w:cs="Arial"/>
          <w:b w:val="0"/>
          <w:bCs w:val="0"/>
          <w:sz w:val="28"/>
          <w:szCs w:val="28"/>
          <w:lang w:eastAsia="ja-JP"/>
        </w:rPr>
      </w:pPr>
    </w:p>
    <w:p w14:paraId="7A65C9CD" w14:textId="77777777" w:rsidR="009B76EB" w:rsidRPr="009B76EB" w:rsidRDefault="009B76EB" w:rsidP="00F8325D">
      <w:pPr>
        <w:jc w:val="both"/>
        <w:rPr>
          <w:rFonts w:cs="Arial"/>
          <w:lang w:val="fr-BE"/>
        </w:rPr>
      </w:pPr>
      <w:r w:rsidRPr="009B76EB">
        <w:rPr>
          <w:rFonts w:cs="Arial"/>
          <w:lang w:val="fr-BE"/>
        </w:rPr>
        <w:t>Isabelle Michel</w:t>
      </w:r>
      <w:r w:rsidRPr="009B76EB">
        <w:rPr>
          <w:rFonts w:cs="Arial"/>
          <w:vertAlign w:val="superscript"/>
          <w:lang w:val="fr-BE"/>
        </w:rPr>
        <w:t>1</w:t>
      </w:r>
      <w:r w:rsidRPr="009B76EB">
        <w:rPr>
          <w:rFonts w:cs="Arial"/>
        </w:rPr>
        <w:t xml:space="preserve">, </w:t>
      </w:r>
      <w:r w:rsidRPr="009B76EB">
        <w:rPr>
          <w:rFonts w:cs="Arial"/>
          <w:lang w:val="fr-BE"/>
        </w:rPr>
        <w:t>Jean</w:t>
      </w:r>
      <w:r w:rsidR="00B06887">
        <w:rPr>
          <w:rFonts w:cs="Arial"/>
          <w:lang w:val="fr-BE"/>
        </w:rPr>
        <w:t>-</w:t>
      </w:r>
      <w:r w:rsidRPr="009B76EB">
        <w:rPr>
          <w:rFonts w:cs="Arial"/>
          <w:lang w:val="fr-BE"/>
        </w:rPr>
        <w:t>Claude Mouret</w:t>
      </w:r>
      <w:r w:rsidRPr="009B76EB">
        <w:rPr>
          <w:rFonts w:cs="Arial"/>
          <w:vertAlign w:val="superscript"/>
          <w:lang w:val="fr-BE"/>
        </w:rPr>
        <w:t>1</w:t>
      </w:r>
      <w:r w:rsidRPr="009B76EB">
        <w:rPr>
          <w:rFonts w:cs="Arial"/>
          <w:vertAlign w:val="subscript"/>
          <w:lang w:val="fr-BE"/>
        </w:rPr>
        <w:t xml:space="preserve">, </w:t>
      </w:r>
      <w:r w:rsidRPr="009B76EB">
        <w:rPr>
          <w:rFonts w:cs="Arial"/>
          <w:lang w:val="fr-BE"/>
        </w:rPr>
        <w:t>Laure Hossard</w:t>
      </w:r>
      <w:r w:rsidRPr="009B76EB">
        <w:rPr>
          <w:rFonts w:cs="Arial"/>
          <w:vertAlign w:val="superscript"/>
          <w:lang w:val="fr-BE"/>
        </w:rPr>
        <w:t>1</w:t>
      </w:r>
      <w:r w:rsidRPr="009B76EB">
        <w:rPr>
          <w:rFonts w:cs="Arial"/>
          <w:lang w:val="fr-BE"/>
        </w:rPr>
        <w:t>, Marie-Jeanne Valony</w:t>
      </w:r>
      <w:r w:rsidRPr="009B76EB">
        <w:rPr>
          <w:rFonts w:cs="Arial"/>
          <w:vertAlign w:val="superscript"/>
          <w:lang w:val="fr-BE"/>
        </w:rPr>
        <w:t>2</w:t>
      </w:r>
      <w:r w:rsidRPr="009B76EB">
        <w:rPr>
          <w:rFonts w:cs="Arial"/>
          <w:lang w:val="fr-BE"/>
        </w:rPr>
        <w:t>, Fanny Balma</w:t>
      </w:r>
      <w:r w:rsidRPr="009B76EB">
        <w:rPr>
          <w:rFonts w:cs="Arial"/>
          <w:vertAlign w:val="superscript"/>
          <w:lang w:val="fr-BE"/>
        </w:rPr>
        <w:t>1,4</w:t>
      </w:r>
      <w:r w:rsidRPr="009B76EB">
        <w:rPr>
          <w:rFonts w:cs="Arial"/>
          <w:lang w:val="fr-BE"/>
        </w:rPr>
        <w:t>,</w:t>
      </w:r>
      <w:r w:rsidRPr="009B76EB">
        <w:rPr>
          <w:rFonts w:cs="Arial"/>
          <w:vertAlign w:val="superscript"/>
          <w:lang w:val="fr-BE"/>
        </w:rPr>
        <w:t xml:space="preserve"> </w:t>
      </w:r>
      <w:r w:rsidRPr="009B76EB">
        <w:rPr>
          <w:rFonts w:cs="Arial"/>
          <w:lang w:val="fr-BE"/>
        </w:rPr>
        <w:t>Jean-Marc Barbier</w:t>
      </w:r>
      <w:r w:rsidRPr="009B76EB">
        <w:rPr>
          <w:rFonts w:cs="Arial"/>
          <w:vertAlign w:val="superscript"/>
          <w:lang w:val="fr-BE"/>
        </w:rPr>
        <w:t>1</w:t>
      </w:r>
      <w:r w:rsidRPr="009B76EB">
        <w:rPr>
          <w:rFonts w:cs="Arial"/>
          <w:lang w:val="fr-BE"/>
        </w:rPr>
        <w:t>, Santiago Lopez-Ridaura</w:t>
      </w:r>
      <w:r w:rsidRPr="009B76EB">
        <w:rPr>
          <w:rFonts w:cs="Arial"/>
          <w:vertAlign w:val="superscript"/>
          <w:lang w:val="fr-BE"/>
        </w:rPr>
        <w:t>1,3</w:t>
      </w:r>
      <w:r w:rsidRPr="009B76EB">
        <w:rPr>
          <w:rFonts w:cs="Arial"/>
        </w:rPr>
        <w:t>, Charles-Henri Moulin</w:t>
      </w:r>
      <w:r w:rsidRPr="009B76EB">
        <w:rPr>
          <w:rFonts w:cs="Arial"/>
          <w:vertAlign w:val="superscript"/>
        </w:rPr>
        <w:t>4</w:t>
      </w:r>
    </w:p>
    <w:p w14:paraId="2DFBB955" w14:textId="77777777" w:rsidR="009B76EB" w:rsidRPr="009B76EB" w:rsidRDefault="009B76EB" w:rsidP="00F8325D">
      <w:pPr>
        <w:spacing w:after="0"/>
        <w:jc w:val="center"/>
        <w:rPr>
          <w:rFonts w:cs="Arial"/>
          <w:lang w:val="fr-BE"/>
        </w:rPr>
      </w:pPr>
    </w:p>
    <w:p w14:paraId="2D01AF19" w14:textId="77777777" w:rsidR="009B76EB" w:rsidRPr="009B76EB" w:rsidRDefault="009B76EB" w:rsidP="00F8325D">
      <w:pPr>
        <w:spacing w:after="0"/>
        <w:jc w:val="both"/>
        <w:rPr>
          <w:rFonts w:cs="Arial"/>
          <w:sz w:val="21"/>
          <w:lang w:val="fr-BE"/>
        </w:rPr>
      </w:pPr>
      <w:bookmarkStart w:id="0" w:name="_Hlk136231071"/>
      <w:r w:rsidRPr="009B76EB">
        <w:rPr>
          <w:rFonts w:cs="Arial"/>
          <w:sz w:val="21"/>
          <w:vertAlign w:val="superscript"/>
          <w:lang w:val="fr-BE"/>
        </w:rPr>
        <w:t>1</w:t>
      </w:r>
      <w:r w:rsidRPr="009B76EB">
        <w:rPr>
          <w:rFonts w:cs="Arial"/>
          <w:sz w:val="21"/>
          <w:lang w:val="fr-BE"/>
        </w:rPr>
        <w:t>I</w:t>
      </w:r>
      <w:r w:rsidRPr="009B76EB">
        <w:rPr>
          <w:rFonts w:cs="Arial"/>
          <w:lang w:val="fr-BE"/>
        </w:rPr>
        <w:t>NNOVATION, CIRAD, INRAE, Institut Agro, Univ Montpellier, Montpellier, France</w:t>
      </w:r>
      <w:bookmarkEnd w:id="0"/>
      <w:r w:rsidRPr="009B76EB">
        <w:rPr>
          <w:rFonts w:cs="Arial"/>
          <w:sz w:val="21"/>
          <w:lang w:val="fr-BE"/>
        </w:rPr>
        <w:t xml:space="preserve"> </w:t>
      </w:r>
    </w:p>
    <w:p w14:paraId="34A714EB" w14:textId="77777777" w:rsidR="009B76EB" w:rsidRPr="009B76EB" w:rsidRDefault="009B76EB" w:rsidP="00F8325D">
      <w:pPr>
        <w:spacing w:after="0"/>
        <w:jc w:val="both"/>
        <w:rPr>
          <w:rFonts w:cs="Arial"/>
        </w:rPr>
      </w:pPr>
      <w:r w:rsidRPr="009B76EB">
        <w:rPr>
          <w:rFonts w:cs="Arial"/>
          <w:vertAlign w:val="superscript"/>
        </w:rPr>
        <w:t>2</w:t>
      </w:r>
      <w:r w:rsidRPr="009B76EB">
        <w:rPr>
          <w:rFonts w:cs="Arial"/>
        </w:rPr>
        <w:t xml:space="preserve">SENS, Univ Montpellier, Institut Agro, CIRAD, IRD, Univ Paul Valéry Montpellier3, Montpellier, France </w:t>
      </w:r>
    </w:p>
    <w:p w14:paraId="08DA561D" w14:textId="77777777" w:rsidR="009B76EB" w:rsidRPr="009B76EB" w:rsidRDefault="009B76EB" w:rsidP="00F8325D">
      <w:pPr>
        <w:spacing w:after="0"/>
        <w:jc w:val="both"/>
        <w:rPr>
          <w:rFonts w:cs="Arial"/>
          <w:lang w:val="en-GB"/>
        </w:rPr>
      </w:pPr>
      <w:r w:rsidRPr="009B76EB">
        <w:rPr>
          <w:rFonts w:cs="Arial"/>
          <w:vertAlign w:val="superscript"/>
          <w:lang w:val="en-GB"/>
        </w:rPr>
        <w:t>3</w:t>
      </w:r>
      <w:r w:rsidRPr="009B76EB">
        <w:rPr>
          <w:rFonts w:cs="Arial"/>
          <w:lang w:val="en-GB"/>
        </w:rPr>
        <w:t xml:space="preserve">Sustainable Agrifood Systems (SAS), International Maize and Wheat Improvement </w:t>
      </w:r>
      <w:proofErr w:type="spellStart"/>
      <w:r w:rsidRPr="009B76EB">
        <w:rPr>
          <w:rFonts w:cs="Arial"/>
          <w:lang w:val="en-GB"/>
        </w:rPr>
        <w:t>Center</w:t>
      </w:r>
      <w:proofErr w:type="spellEnd"/>
      <w:r w:rsidRPr="009B76EB">
        <w:rPr>
          <w:rFonts w:cs="Arial"/>
          <w:lang w:val="en-GB"/>
        </w:rPr>
        <w:t xml:space="preserve"> (CIMMYT), Mexico</w:t>
      </w:r>
    </w:p>
    <w:p w14:paraId="3B2648BD" w14:textId="77777777" w:rsidR="009B76EB" w:rsidRPr="009B76EB" w:rsidRDefault="009B76EB" w:rsidP="00F8325D">
      <w:pPr>
        <w:spacing w:after="0"/>
        <w:jc w:val="both"/>
        <w:rPr>
          <w:rFonts w:cs="Arial"/>
          <w:lang w:val="en-GB"/>
        </w:rPr>
      </w:pPr>
      <w:r w:rsidRPr="009B76EB">
        <w:rPr>
          <w:rFonts w:cs="Arial"/>
          <w:vertAlign w:val="superscript"/>
          <w:lang w:val="en-GB"/>
        </w:rPr>
        <w:t>4</w:t>
      </w:r>
      <w:r w:rsidRPr="009B76EB">
        <w:rPr>
          <w:rFonts w:cs="Arial"/>
          <w:lang w:val="en-GB"/>
        </w:rPr>
        <w:t xml:space="preserve">SELMET, CIRAD, INRAE, </w:t>
      </w:r>
      <w:proofErr w:type="spellStart"/>
      <w:r w:rsidRPr="009B76EB">
        <w:rPr>
          <w:rFonts w:cs="Arial"/>
          <w:lang w:val="en-GB"/>
        </w:rPr>
        <w:t>Institut</w:t>
      </w:r>
      <w:proofErr w:type="spellEnd"/>
      <w:r w:rsidRPr="009B76EB">
        <w:rPr>
          <w:rFonts w:cs="Arial"/>
          <w:lang w:val="en-GB"/>
        </w:rPr>
        <w:t xml:space="preserve"> </w:t>
      </w:r>
      <w:proofErr w:type="spellStart"/>
      <w:r w:rsidRPr="009B76EB">
        <w:rPr>
          <w:rFonts w:cs="Arial"/>
          <w:lang w:val="en-GB"/>
        </w:rPr>
        <w:t>Agro</w:t>
      </w:r>
      <w:proofErr w:type="spellEnd"/>
      <w:r w:rsidRPr="009B76EB">
        <w:rPr>
          <w:rFonts w:cs="Arial"/>
          <w:lang w:val="en-GB"/>
        </w:rPr>
        <w:t xml:space="preserve">, </w:t>
      </w:r>
      <w:proofErr w:type="spellStart"/>
      <w:r w:rsidRPr="009B76EB">
        <w:rPr>
          <w:rFonts w:cs="Arial"/>
          <w:lang w:val="en-GB"/>
        </w:rPr>
        <w:t>Univ</w:t>
      </w:r>
      <w:proofErr w:type="spellEnd"/>
      <w:r w:rsidRPr="009B76EB">
        <w:rPr>
          <w:rFonts w:cs="Arial"/>
          <w:lang w:val="en-GB"/>
        </w:rPr>
        <w:t xml:space="preserve"> Montpellier, Montpellier, France</w:t>
      </w:r>
    </w:p>
    <w:p w14:paraId="46C148F6" w14:textId="77777777" w:rsidR="009B76EB" w:rsidRPr="009B76EB" w:rsidRDefault="009B76EB" w:rsidP="00F8325D">
      <w:pPr>
        <w:spacing w:after="0"/>
        <w:jc w:val="both"/>
        <w:rPr>
          <w:rFonts w:cs="Arial"/>
          <w:sz w:val="21"/>
          <w:lang w:val="en-GB"/>
        </w:rPr>
      </w:pPr>
    </w:p>
    <w:p w14:paraId="5426B236" w14:textId="77777777" w:rsidR="009B76EB" w:rsidRPr="00F13271" w:rsidRDefault="009B76EB" w:rsidP="00F8325D">
      <w:pPr>
        <w:pStyle w:val="pf0"/>
        <w:adjustRightInd w:val="0"/>
        <w:snapToGrid w:val="0"/>
        <w:spacing w:before="0" w:beforeAutospacing="0" w:after="0" w:afterAutospacing="0"/>
        <w:jc w:val="both"/>
        <w:rPr>
          <w:rStyle w:val="cf01"/>
          <w:rFonts w:eastAsia="ＭＳ 明朝"/>
          <w:bCs w:val="0"/>
          <w:sz w:val="20"/>
          <w:szCs w:val="20"/>
          <w:lang w:eastAsia="ja-JP"/>
        </w:rPr>
      </w:pPr>
      <w:r w:rsidRPr="00F13271">
        <w:rPr>
          <w:rStyle w:val="cf01"/>
          <w:rFonts w:eastAsia="ＭＳ 明朝" w:hint="eastAsia"/>
          <w:b w:val="0"/>
          <w:sz w:val="20"/>
          <w:szCs w:val="20"/>
          <w:lang w:eastAsia="ja-JP"/>
        </w:rPr>
        <w:t>C</w:t>
      </w:r>
      <w:r w:rsidRPr="00F13271">
        <w:rPr>
          <w:rStyle w:val="cf01"/>
          <w:rFonts w:eastAsia="ＭＳ 明朝"/>
          <w:b w:val="0"/>
          <w:sz w:val="20"/>
          <w:szCs w:val="20"/>
          <w:lang w:eastAsia="ja-JP"/>
        </w:rPr>
        <w:t>o-responding author:</w:t>
      </w:r>
      <w:r w:rsidRPr="00F13271">
        <w:rPr>
          <w:rFonts w:ascii="Arial" w:hAnsi="Arial" w:cs="Arial"/>
          <w:b/>
          <w:sz w:val="22"/>
        </w:rPr>
        <w:t xml:space="preserve"> </w:t>
      </w:r>
      <w:r w:rsidRPr="00F13271">
        <w:rPr>
          <w:rFonts w:ascii="Arial" w:hAnsi="Arial" w:cs="Arial"/>
          <w:sz w:val="21"/>
          <w:szCs w:val="21"/>
        </w:rPr>
        <w:t>Isabelle Michel</w:t>
      </w:r>
    </w:p>
    <w:p w14:paraId="6B8FA2E0" w14:textId="77777777" w:rsidR="009B76EB" w:rsidRPr="00F13271" w:rsidRDefault="009B76EB" w:rsidP="00F8325D">
      <w:pPr>
        <w:pStyle w:val="pf0"/>
        <w:adjustRightInd w:val="0"/>
        <w:snapToGrid w:val="0"/>
        <w:spacing w:before="0" w:beforeAutospacing="0" w:after="0" w:afterAutospacing="0"/>
        <w:jc w:val="both"/>
        <w:rPr>
          <w:rStyle w:val="cf01"/>
          <w:rFonts w:eastAsia="ＭＳ 明朝"/>
          <w:b w:val="0"/>
          <w:bCs w:val="0"/>
          <w:sz w:val="20"/>
          <w:szCs w:val="20"/>
          <w:lang w:eastAsia="ja-JP"/>
        </w:rPr>
      </w:pPr>
      <w:r w:rsidRPr="00F13271">
        <w:rPr>
          <w:rStyle w:val="cf01"/>
          <w:rFonts w:eastAsia="ＭＳ 明朝"/>
          <w:b w:val="0"/>
          <w:sz w:val="20"/>
          <w:szCs w:val="20"/>
          <w:lang w:eastAsia="ja-JP"/>
        </w:rPr>
        <w:t>Position: Scientist</w:t>
      </w:r>
    </w:p>
    <w:p w14:paraId="00684A03" w14:textId="77777777" w:rsidR="009B76EB" w:rsidRPr="00F13271" w:rsidRDefault="009B76EB" w:rsidP="00F8325D">
      <w:pPr>
        <w:pStyle w:val="pf0"/>
        <w:adjustRightInd w:val="0"/>
        <w:snapToGrid w:val="0"/>
        <w:spacing w:before="0" w:beforeAutospacing="0" w:after="0" w:afterAutospacing="0"/>
        <w:jc w:val="both"/>
        <w:rPr>
          <w:rStyle w:val="cf01"/>
          <w:rFonts w:eastAsia="ＭＳ 明朝"/>
          <w:b w:val="0"/>
          <w:bCs w:val="0"/>
          <w:sz w:val="20"/>
          <w:szCs w:val="20"/>
          <w:lang w:eastAsia="ja-JP"/>
        </w:rPr>
      </w:pPr>
      <w:r w:rsidRPr="00F13271">
        <w:rPr>
          <w:rStyle w:val="cf01"/>
          <w:rFonts w:eastAsia="ＭＳ 明朝"/>
          <w:b w:val="0"/>
          <w:sz w:val="20"/>
          <w:szCs w:val="20"/>
          <w:lang w:eastAsia="ja-JP"/>
        </w:rPr>
        <w:t xml:space="preserve">Affiliations: </w:t>
      </w:r>
      <w:proofErr w:type="spellStart"/>
      <w:r w:rsidRPr="00F13271">
        <w:rPr>
          <w:rStyle w:val="cf01"/>
          <w:rFonts w:eastAsia="ＭＳ 明朝"/>
          <w:b w:val="0"/>
          <w:sz w:val="20"/>
          <w:szCs w:val="20"/>
          <w:lang w:eastAsia="ja-JP"/>
        </w:rPr>
        <w:t>Institut</w:t>
      </w:r>
      <w:proofErr w:type="spellEnd"/>
      <w:r w:rsidRPr="00F13271">
        <w:rPr>
          <w:rStyle w:val="cf01"/>
          <w:rFonts w:eastAsia="ＭＳ 明朝"/>
          <w:b w:val="0"/>
          <w:sz w:val="20"/>
          <w:szCs w:val="20"/>
          <w:lang w:eastAsia="ja-JP"/>
        </w:rPr>
        <w:t xml:space="preserve"> </w:t>
      </w:r>
      <w:proofErr w:type="spellStart"/>
      <w:r w:rsidRPr="00F13271">
        <w:rPr>
          <w:rStyle w:val="cf01"/>
          <w:rFonts w:eastAsia="ＭＳ 明朝"/>
          <w:b w:val="0"/>
          <w:sz w:val="20"/>
          <w:szCs w:val="20"/>
          <w:lang w:eastAsia="ja-JP"/>
        </w:rPr>
        <w:t>Agro</w:t>
      </w:r>
      <w:proofErr w:type="spellEnd"/>
      <w:r w:rsidRPr="00F13271">
        <w:rPr>
          <w:rStyle w:val="cf01"/>
          <w:rFonts w:eastAsia="ＭＳ 明朝"/>
          <w:b w:val="0"/>
          <w:sz w:val="20"/>
          <w:szCs w:val="20"/>
          <w:lang w:eastAsia="ja-JP"/>
        </w:rPr>
        <w:t xml:space="preserve"> Montpellier – UMR Innovation (CIRAD, INRAE, </w:t>
      </w:r>
      <w:proofErr w:type="spellStart"/>
      <w:r w:rsidRPr="00F13271">
        <w:rPr>
          <w:rStyle w:val="cf01"/>
          <w:rFonts w:eastAsia="ＭＳ 明朝"/>
          <w:b w:val="0"/>
          <w:sz w:val="20"/>
          <w:szCs w:val="20"/>
          <w:lang w:eastAsia="ja-JP"/>
        </w:rPr>
        <w:t>Institut</w:t>
      </w:r>
      <w:proofErr w:type="spellEnd"/>
      <w:r w:rsidRPr="00F13271">
        <w:rPr>
          <w:rStyle w:val="cf01"/>
          <w:rFonts w:eastAsia="ＭＳ 明朝"/>
          <w:b w:val="0"/>
          <w:sz w:val="20"/>
          <w:szCs w:val="20"/>
          <w:lang w:eastAsia="ja-JP"/>
        </w:rPr>
        <w:t xml:space="preserve"> </w:t>
      </w:r>
      <w:proofErr w:type="spellStart"/>
      <w:r w:rsidRPr="00F13271">
        <w:rPr>
          <w:rStyle w:val="cf01"/>
          <w:rFonts w:eastAsia="ＭＳ 明朝"/>
          <w:b w:val="0"/>
          <w:sz w:val="20"/>
          <w:szCs w:val="20"/>
          <w:lang w:eastAsia="ja-JP"/>
        </w:rPr>
        <w:t>Agro</w:t>
      </w:r>
      <w:proofErr w:type="spellEnd"/>
      <w:r w:rsidRPr="00F13271">
        <w:rPr>
          <w:rStyle w:val="cf01"/>
          <w:rFonts w:eastAsia="ＭＳ 明朝"/>
          <w:b w:val="0"/>
          <w:sz w:val="20"/>
          <w:szCs w:val="20"/>
          <w:lang w:eastAsia="ja-JP"/>
        </w:rPr>
        <w:t xml:space="preserve">, Univ. Montpellier), Montpellier, France </w:t>
      </w:r>
    </w:p>
    <w:p w14:paraId="3BEC1873" w14:textId="77777777" w:rsidR="009B76EB" w:rsidRPr="00F13271" w:rsidRDefault="009B76EB" w:rsidP="00F8325D">
      <w:pPr>
        <w:pStyle w:val="pf0"/>
        <w:adjustRightInd w:val="0"/>
        <w:snapToGrid w:val="0"/>
        <w:spacing w:before="0" w:beforeAutospacing="0" w:after="0" w:afterAutospacing="0"/>
        <w:jc w:val="both"/>
        <w:rPr>
          <w:rStyle w:val="cf01"/>
          <w:rFonts w:eastAsia="ＭＳ 明朝"/>
          <w:b w:val="0"/>
          <w:bCs w:val="0"/>
          <w:sz w:val="20"/>
          <w:szCs w:val="20"/>
          <w:lang w:eastAsia="ja-JP"/>
        </w:rPr>
      </w:pPr>
      <w:r w:rsidRPr="00F13271">
        <w:rPr>
          <w:rStyle w:val="cf01"/>
          <w:rFonts w:eastAsia="ＭＳ 明朝"/>
          <w:b w:val="0"/>
          <w:sz w:val="20"/>
          <w:szCs w:val="20"/>
          <w:lang w:eastAsia="ja-JP"/>
        </w:rPr>
        <w:t>Country</w:t>
      </w:r>
      <w:r w:rsidRPr="00F13271">
        <w:rPr>
          <w:rStyle w:val="cf01"/>
          <w:rFonts w:eastAsia="ＭＳ 明朝" w:hint="eastAsia"/>
          <w:b w:val="0"/>
          <w:sz w:val="20"/>
          <w:szCs w:val="20"/>
          <w:lang w:eastAsia="ja-JP"/>
        </w:rPr>
        <w:t>:</w:t>
      </w:r>
      <w:r w:rsidRPr="00F13271">
        <w:rPr>
          <w:rStyle w:val="cf01"/>
          <w:rFonts w:eastAsia="ＭＳ 明朝"/>
          <w:b w:val="0"/>
          <w:sz w:val="20"/>
          <w:szCs w:val="20"/>
          <w:lang w:eastAsia="ja-JP"/>
        </w:rPr>
        <w:t xml:space="preserve"> France</w:t>
      </w:r>
    </w:p>
    <w:p w14:paraId="6B72D8EE" w14:textId="77777777" w:rsidR="009B76EB" w:rsidRPr="00F13271" w:rsidRDefault="009B76EB" w:rsidP="00F8325D">
      <w:pPr>
        <w:pStyle w:val="pf0"/>
        <w:adjustRightInd w:val="0"/>
        <w:snapToGrid w:val="0"/>
        <w:spacing w:before="0" w:beforeAutospacing="0" w:after="0" w:afterAutospacing="0"/>
        <w:jc w:val="both"/>
        <w:rPr>
          <w:rStyle w:val="cf01"/>
          <w:rFonts w:eastAsia="ＭＳ 明朝"/>
          <w:b w:val="0"/>
          <w:sz w:val="20"/>
          <w:szCs w:val="20"/>
          <w:lang w:eastAsia="ja-JP"/>
        </w:rPr>
      </w:pPr>
      <w:r w:rsidRPr="00F13271">
        <w:rPr>
          <w:rStyle w:val="cf01"/>
          <w:rFonts w:eastAsia="ＭＳ 明朝" w:hint="eastAsia"/>
          <w:b w:val="0"/>
          <w:sz w:val="20"/>
          <w:szCs w:val="20"/>
          <w:lang w:eastAsia="ja-JP"/>
        </w:rPr>
        <w:t>E</w:t>
      </w:r>
      <w:r w:rsidRPr="00F13271">
        <w:rPr>
          <w:rStyle w:val="cf01"/>
          <w:rFonts w:eastAsia="ＭＳ 明朝"/>
          <w:b w:val="0"/>
          <w:sz w:val="20"/>
          <w:szCs w:val="20"/>
          <w:lang w:eastAsia="ja-JP"/>
        </w:rPr>
        <w:t>-mail:</w:t>
      </w:r>
      <w:r w:rsidRPr="00F13271">
        <w:rPr>
          <w:b/>
        </w:rPr>
        <w:t xml:space="preserve"> </w:t>
      </w:r>
      <w:r w:rsidRPr="00F13271">
        <w:rPr>
          <w:rStyle w:val="cf01"/>
          <w:rFonts w:eastAsia="ＭＳ 明朝"/>
          <w:b w:val="0"/>
          <w:sz w:val="21"/>
          <w:szCs w:val="21"/>
          <w:lang w:eastAsia="ja-JP"/>
        </w:rPr>
        <w:t>isabelle.michel@supagro.fr</w:t>
      </w:r>
    </w:p>
    <w:p w14:paraId="2FF912EE" w14:textId="77777777" w:rsidR="009B76EB" w:rsidRPr="009B76EB" w:rsidRDefault="009B76EB" w:rsidP="00F8325D">
      <w:pPr>
        <w:jc w:val="both"/>
        <w:rPr>
          <w:lang w:val="en-US"/>
        </w:rPr>
      </w:pPr>
    </w:p>
    <w:p w14:paraId="015800AB" w14:textId="0821613B" w:rsidR="00AB268D" w:rsidRPr="00AB268D" w:rsidRDefault="00AB268D" w:rsidP="009B76EB">
      <w:pPr>
        <w:jc w:val="both"/>
        <w:rPr>
          <w:lang w:val="en-GB"/>
        </w:rPr>
      </w:pPr>
      <w:r w:rsidRPr="00AB268D">
        <w:rPr>
          <w:lang w:val="en-GB"/>
        </w:rPr>
        <w:t xml:space="preserve">In </w:t>
      </w:r>
      <w:r w:rsidRPr="00AB268D">
        <w:rPr>
          <w:i/>
          <w:lang w:val="en-GB"/>
        </w:rPr>
        <w:t>Camargue</w:t>
      </w:r>
      <w:r w:rsidRPr="00AB268D">
        <w:rPr>
          <w:lang w:val="en-GB"/>
        </w:rPr>
        <w:t xml:space="preserve"> (France), the development of organic rice production started in the 1990s. The area of rice under organic farming has increased rapidly, from 11% of rice areas to 2</w:t>
      </w:r>
      <w:r w:rsidR="00F8325D">
        <w:rPr>
          <w:lang w:val="en-GB"/>
        </w:rPr>
        <w:t>5</w:t>
      </w:r>
      <w:r w:rsidRPr="00AB268D">
        <w:rPr>
          <w:lang w:val="en-GB"/>
        </w:rPr>
        <w:t>% between the years 2015 and 20</w:t>
      </w:r>
      <w:r w:rsidR="00F8325D">
        <w:rPr>
          <w:lang w:val="en-GB"/>
        </w:rPr>
        <w:t>20</w:t>
      </w:r>
      <w:r w:rsidR="00FF70A8">
        <w:rPr>
          <w:lang w:val="en-GB"/>
        </w:rPr>
        <w:t xml:space="preserve"> (</w:t>
      </w:r>
      <w:proofErr w:type="spellStart"/>
      <w:r w:rsidR="00F8325D">
        <w:rPr>
          <w:lang w:val="en-GB"/>
        </w:rPr>
        <w:t>Mouret</w:t>
      </w:r>
      <w:proofErr w:type="spellEnd"/>
      <w:r w:rsidR="00F8325D">
        <w:rPr>
          <w:lang w:val="en-GB"/>
        </w:rPr>
        <w:t xml:space="preserve">, 2018; </w:t>
      </w:r>
      <w:proofErr w:type="spellStart"/>
      <w:r w:rsidR="00F8325D">
        <w:rPr>
          <w:lang w:val="en-GB"/>
        </w:rPr>
        <w:t>Agreste</w:t>
      </w:r>
      <w:proofErr w:type="spellEnd"/>
      <w:r w:rsidR="00F8325D">
        <w:rPr>
          <w:lang w:val="en-GB"/>
        </w:rPr>
        <w:t xml:space="preserve"> 2020</w:t>
      </w:r>
      <w:r w:rsidR="00FF70A8">
        <w:rPr>
          <w:lang w:val="en-GB"/>
        </w:rPr>
        <w:t>)</w:t>
      </w:r>
      <w:r w:rsidRPr="00AB268D">
        <w:rPr>
          <w:lang w:val="en-GB"/>
        </w:rPr>
        <w:t xml:space="preserve">. This increase corresponds to the transition of many farms in </w:t>
      </w:r>
      <w:r w:rsidRPr="00F13271">
        <w:rPr>
          <w:i/>
          <w:lang w:val="en-GB"/>
        </w:rPr>
        <w:t>Camargue</w:t>
      </w:r>
      <w:r w:rsidR="006D5430" w:rsidRPr="00F8325D">
        <w:rPr>
          <w:lang w:val="en-GB"/>
        </w:rPr>
        <w:t>,</w:t>
      </w:r>
      <w:r w:rsidR="006D5430">
        <w:rPr>
          <w:i/>
          <w:lang w:val="en-GB"/>
        </w:rPr>
        <w:t xml:space="preserve"> </w:t>
      </w:r>
      <w:r w:rsidR="00F8325D" w:rsidRPr="00F8325D">
        <w:rPr>
          <w:lang w:val="en-GB"/>
        </w:rPr>
        <w:t xml:space="preserve">on the order of </w:t>
      </w:r>
      <w:r w:rsidR="006D5430" w:rsidRPr="00F8325D">
        <w:rPr>
          <w:lang w:val="en-GB"/>
        </w:rPr>
        <w:t>90</w:t>
      </w:r>
      <w:r w:rsidRPr="00AB268D">
        <w:rPr>
          <w:lang w:val="en-GB"/>
        </w:rPr>
        <w:t xml:space="preserve">. </w:t>
      </w:r>
      <w:proofErr w:type="gramStart"/>
      <w:r w:rsidRPr="00AB268D">
        <w:rPr>
          <w:lang w:val="en-GB"/>
        </w:rPr>
        <w:t>In</w:t>
      </w:r>
      <w:proofErr w:type="gramEnd"/>
      <w:r w:rsidRPr="00AB268D">
        <w:rPr>
          <w:lang w:val="en-GB"/>
        </w:rPr>
        <w:t xml:space="preserve"> the same time, farmers diversified their cropping systems and extended the length of their crop rotations. Some authors reported that the introduction of forage crops, such as</w:t>
      </w:r>
      <w:r w:rsidRPr="000B6669">
        <w:rPr>
          <w:b/>
          <w:lang w:val="en-GB"/>
        </w:rPr>
        <w:t xml:space="preserve"> </w:t>
      </w:r>
      <w:r w:rsidRPr="000B6669">
        <w:rPr>
          <w:lang w:val="en-GB"/>
        </w:rPr>
        <w:t>alfalfa</w:t>
      </w:r>
      <w:r w:rsidRPr="00AB268D">
        <w:rPr>
          <w:lang w:val="en-GB"/>
        </w:rPr>
        <w:t xml:space="preserve"> </w:t>
      </w:r>
      <w:r w:rsidR="000B6669">
        <w:rPr>
          <w:lang w:val="en-GB"/>
        </w:rPr>
        <w:t>(</w:t>
      </w:r>
      <w:r w:rsidR="000B6669" w:rsidRPr="000B6669">
        <w:rPr>
          <w:i/>
          <w:lang w:val="en-GB"/>
        </w:rPr>
        <w:t>Medicago sativa)</w:t>
      </w:r>
      <w:r w:rsidR="000B6669">
        <w:rPr>
          <w:lang w:val="en-GB"/>
        </w:rPr>
        <w:t xml:space="preserve"> </w:t>
      </w:r>
      <w:r w:rsidRPr="00AB268D">
        <w:rPr>
          <w:lang w:val="en-GB"/>
        </w:rPr>
        <w:t>in particular, is a favourable factor for the transition to organic farming. They also focus on the interest of livestock, fed with these forages, to enable the transition (</w:t>
      </w:r>
      <w:proofErr w:type="spellStart"/>
      <w:r w:rsidRPr="00AB268D">
        <w:rPr>
          <w:lang w:val="en-GB"/>
        </w:rPr>
        <w:t>Delmotte</w:t>
      </w:r>
      <w:proofErr w:type="spellEnd"/>
      <w:r w:rsidRPr="00AB268D">
        <w:rPr>
          <w:lang w:val="en-GB"/>
        </w:rPr>
        <w:t xml:space="preserve"> et al., 2018). We distinguish two processes in this notion of transition. The first concerns the conversion to organic farming, requiring 3 years for the lands and 6 months for the herds. The second concerns the evolution of cropping systems after the conversion. Camargue farmers are </w:t>
      </w:r>
      <w:proofErr w:type="gramStart"/>
      <w:r w:rsidRPr="00AB268D">
        <w:rPr>
          <w:lang w:val="en-GB"/>
        </w:rPr>
        <w:t>actually experimenting</w:t>
      </w:r>
      <w:proofErr w:type="gramEnd"/>
      <w:r w:rsidRPr="00AB268D">
        <w:rPr>
          <w:lang w:val="en-GB"/>
        </w:rPr>
        <w:t xml:space="preserve"> with different cropping systems, introducing new crops such as rapeseed, lentils or open-field market gardening (melon, tomato), as well as intercrops for green manuring, which can also be used to feed livestock. The purpose of this communication is to show the roles of forage crops in the transitions. How did the farmers convert their farm to organic farming? What cropping systems did they developed to produce rice in organic farming? What were the interests and constraints of alfalfa in these transition processes?</w:t>
      </w:r>
    </w:p>
    <w:p w14:paraId="281E492F" w14:textId="0D78EC96" w:rsidR="00C141EF" w:rsidRDefault="006D5430" w:rsidP="009B76EB">
      <w:pPr>
        <w:jc w:val="both"/>
        <w:rPr>
          <w:lang w:val="en-GB"/>
        </w:rPr>
      </w:pPr>
      <w:r w:rsidRPr="006D5430">
        <w:rPr>
          <w:lang w:val="en-GB"/>
        </w:rPr>
        <w:t>To study the transitions, we used a case study database comprising 42 farms, 24 of which switched to organic farming.</w:t>
      </w:r>
      <w:r w:rsidR="00D67D9D">
        <w:rPr>
          <w:lang w:val="en-GB"/>
        </w:rPr>
        <w:t xml:space="preserve"> </w:t>
      </w:r>
      <w:r w:rsidR="00AB268D" w:rsidRPr="00AB268D">
        <w:rPr>
          <w:lang w:val="en-GB"/>
        </w:rPr>
        <w:t xml:space="preserve">We built this database from a training action with Master 2 level students (Michel et al., 2018) between the years 2010 and 2023. The students questioned the farmers about the history of their farms, since their installations or their arrivals on the farm as crop manager. The work was carried out several times, a few years apart, on the same farm, which made it possible to consolidate and complete the history of the </w:t>
      </w:r>
      <w:proofErr w:type="gramStart"/>
      <w:r w:rsidR="00AB268D" w:rsidRPr="00AB268D">
        <w:rPr>
          <w:lang w:val="en-GB"/>
        </w:rPr>
        <w:t>farm</w:t>
      </w:r>
      <w:r w:rsidR="00FF70A8">
        <w:rPr>
          <w:lang w:val="en-GB"/>
        </w:rPr>
        <w:t>s, and</w:t>
      </w:r>
      <w:proofErr w:type="gramEnd"/>
      <w:r w:rsidR="00FF70A8">
        <w:rPr>
          <w:lang w:val="en-GB"/>
        </w:rPr>
        <w:t xml:space="preserve"> analyse their evolutions</w:t>
      </w:r>
      <w:r w:rsidR="00AB268D" w:rsidRPr="00AB268D">
        <w:rPr>
          <w:lang w:val="en-GB"/>
        </w:rPr>
        <w:t>. From the account of the history of his exploitation by a farmer, the students represented the farm trajectory in the form of a succession of stable periods, presenting a coherence of operation, and periods of change (Moulin et al., 2008).</w:t>
      </w:r>
    </w:p>
    <w:p w14:paraId="2CEA583C" w14:textId="638DB91B" w:rsidR="00AB268D" w:rsidRDefault="00AB268D" w:rsidP="009B76EB">
      <w:pPr>
        <w:jc w:val="both"/>
        <w:rPr>
          <w:lang w:val="en-GB"/>
        </w:rPr>
      </w:pPr>
      <w:r w:rsidRPr="00AB268D">
        <w:rPr>
          <w:lang w:val="en-GB"/>
        </w:rPr>
        <w:t xml:space="preserve">From the </w:t>
      </w:r>
      <w:r w:rsidR="00CA3F42">
        <w:rPr>
          <w:lang w:val="en-GB"/>
        </w:rPr>
        <w:t xml:space="preserve">24 </w:t>
      </w:r>
      <w:r w:rsidRPr="00AB268D">
        <w:rPr>
          <w:lang w:val="en-GB"/>
        </w:rPr>
        <w:t>individual trajectories with a transition to organic rice production, we identified four types of transition</w:t>
      </w:r>
      <w:r w:rsidR="00E069F3">
        <w:rPr>
          <w:lang w:val="en-GB"/>
        </w:rPr>
        <w:t>.</w:t>
      </w:r>
      <w:r w:rsidR="00C141EF">
        <w:rPr>
          <w:lang w:val="en-GB"/>
        </w:rPr>
        <w:t xml:space="preserve"> </w:t>
      </w:r>
      <w:r w:rsidR="00C141EF" w:rsidRPr="00C141EF">
        <w:rPr>
          <w:lang w:val="en-GB"/>
        </w:rPr>
        <w:t xml:space="preserve">They differ according to farm type (cultivated area, </w:t>
      </w:r>
      <w:r w:rsidR="0004065D">
        <w:rPr>
          <w:lang w:val="en-GB"/>
        </w:rPr>
        <w:t xml:space="preserve">location, </w:t>
      </w:r>
      <w:r w:rsidR="00C141EF" w:rsidRPr="00C141EF">
        <w:rPr>
          <w:lang w:val="en-GB"/>
        </w:rPr>
        <w:t>soil type</w:t>
      </w:r>
      <w:r w:rsidR="0004065D">
        <w:rPr>
          <w:lang w:val="en-GB"/>
        </w:rPr>
        <w:t>s</w:t>
      </w:r>
      <w:r w:rsidR="00C141EF" w:rsidRPr="00C141EF">
        <w:rPr>
          <w:lang w:val="en-GB"/>
        </w:rPr>
        <w:t xml:space="preserve">, </w:t>
      </w:r>
      <w:r w:rsidR="00C141EF" w:rsidRPr="00C141EF">
        <w:rPr>
          <w:lang w:val="en-GB"/>
        </w:rPr>
        <w:lastRenderedPageBreak/>
        <w:t xml:space="preserve">degree of original rice specialization, presence or absence of livestock, </w:t>
      </w:r>
      <w:r w:rsidR="00DE2999">
        <w:rPr>
          <w:lang w:val="en-GB"/>
        </w:rPr>
        <w:t xml:space="preserve">farm </w:t>
      </w:r>
      <w:r w:rsidR="00C141EF" w:rsidRPr="00C141EF">
        <w:rPr>
          <w:lang w:val="en-GB"/>
        </w:rPr>
        <w:t xml:space="preserve">history). They differ according to the degree of conversion to organic farming (on all plots or only part) and the organic cropping systems implemented. All conversion trajectories include alfalfa cultivation. Whether alfalfa is subsequently retained in stabilized organic rotations depends on the situation. </w:t>
      </w:r>
      <w:r w:rsidR="00FF70A8">
        <w:rPr>
          <w:lang w:val="en-GB"/>
        </w:rPr>
        <w:t>O</w:t>
      </w:r>
      <w:r w:rsidR="00C141EF" w:rsidRPr="00C141EF">
        <w:rPr>
          <w:lang w:val="en-GB"/>
        </w:rPr>
        <w:t>ur results show the agronomic benefits of alfalfa for the 3-year conversion period, and then for the construction of organic rotations including rice</w:t>
      </w:r>
      <w:r w:rsidR="00FF70A8">
        <w:rPr>
          <w:lang w:val="en-GB"/>
        </w:rPr>
        <w:t>. But we</w:t>
      </w:r>
      <w:r w:rsidR="00C141EF" w:rsidRPr="00C141EF">
        <w:rPr>
          <w:lang w:val="en-GB"/>
        </w:rPr>
        <w:t xml:space="preserve"> also show limitations</w:t>
      </w:r>
      <w:r w:rsidR="00FF70A8">
        <w:rPr>
          <w:lang w:val="en-GB"/>
        </w:rPr>
        <w:t xml:space="preserve"> of alfalfa</w:t>
      </w:r>
      <w:r w:rsidR="00C141EF" w:rsidRPr="00C141EF">
        <w:rPr>
          <w:lang w:val="en-GB"/>
        </w:rPr>
        <w:t xml:space="preserve">, such as its incompatibility with the </w:t>
      </w:r>
      <w:r w:rsidR="00D67D9D">
        <w:rPr>
          <w:lang w:val="en-GB"/>
        </w:rPr>
        <w:t>lowlands</w:t>
      </w:r>
      <w:r w:rsidR="00C141EF" w:rsidRPr="00C141EF">
        <w:rPr>
          <w:lang w:val="en-GB"/>
        </w:rPr>
        <w:t xml:space="preserve">, floodable in winter and prone to salinization. </w:t>
      </w:r>
      <w:r w:rsidR="00955AD6" w:rsidRPr="00955AD6">
        <w:rPr>
          <w:lang w:val="en-GB"/>
        </w:rPr>
        <w:t>Another constraint is the problem of harvesting and marketing alfalfa for farms without livestock. Growers adopt a variety of strategies, including contractual agreements</w:t>
      </w:r>
      <w:r w:rsidR="00955AD6">
        <w:rPr>
          <w:lang w:val="en-GB"/>
        </w:rPr>
        <w:t xml:space="preserve"> </w:t>
      </w:r>
      <w:r w:rsidR="00955AD6" w:rsidRPr="00955AD6">
        <w:rPr>
          <w:lang w:val="en-GB"/>
        </w:rPr>
        <w:t>with livestock farmers who buy alfalfa from them on the hoof and take care of harvesting in the form of grazing and/or mowing, bringing their own equipment.</w:t>
      </w:r>
      <w:r w:rsidR="00955AD6">
        <w:rPr>
          <w:lang w:val="en-GB"/>
        </w:rPr>
        <w:t xml:space="preserve"> </w:t>
      </w:r>
      <w:r w:rsidR="00C141EF" w:rsidRPr="00C141EF">
        <w:rPr>
          <w:lang w:val="en-GB"/>
        </w:rPr>
        <w:t xml:space="preserve">Others are shortening the alfalfa's lifespan (1 to 2 years), and testing alfalfa/cereal combinations to boost gross margin per hectare. </w:t>
      </w:r>
      <w:r w:rsidR="009D3A5A">
        <w:rPr>
          <w:lang w:val="en-GB"/>
        </w:rPr>
        <w:t>M</w:t>
      </w:r>
      <w:r w:rsidR="009D3A5A" w:rsidRPr="009D3A5A">
        <w:rPr>
          <w:lang w:val="en-GB"/>
        </w:rPr>
        <w:t>ixed crop-livestock farmers</w:t>
      </w:r>
      <w:r w:rsidR="00C141EF" w:rsidRPr="00C141EF">
        <w:rPr>
          <w:lang w:val="en-GB"/>
        </w:rPr>
        <w:t xml:space="preserve">, for their part, use the alfalfa via their animals, and supplement this with forage intercropping, including grazed regrowth after watering, which further diversifies organic rice cropping systems. Some go so far as to use their equipment and know-how to provide alfalfa harvesting services to growers. For these two types of farms, </w:t>
      </w:r>
      <w:r w:rsidR="00955AD6">
        <w:rPr>
          <w:lang w:val="en-GB"/>
        </w:rPr>
        <w:t>growers</w:t>
      </w:r>
      <w:r w:rsidR="00C141EF" w:rsidRPr="00C141EF">
        <w:rPr>
          <w:lang w:val="en-GB"/>
        </w:rPr>
        <w:t xml:space="preserve"> and </w:t>
      </w:r>
      <w:proofErr w:type="spellStart"/>
      <w:r w:rsidR="00C141EF" w:rsidRPr="00C141EF">
        <w:rPr>
          <w:lang w:val="en-GB"/>
        </w:rPr>
        <w:t>agri</w:t>
      </w:r>
      <w:proofErr w:type="spellEnd"/>
      <w:r w:rsidR="00C141EF" w:rsidRPr="00C141EF">
        <w:rPr>
          <w:lang w:val="en-GB"/>
        </w:rPr>
        <w:t xml:space="preserve">-breeders, with </w:t>
      </w:r>
      <w:proofErr w:type="gramStart"/>
      <w:r w:rsidR="00C141EF" w:rsidRPr="00C141EF">
        <w:rPr>
          <w:lang w:val="en-GB"/>
        </w:rPr>
        <w:t>large cultivated</w:t>
      </w:r>
      <w:proofErr w:type="gramEnd"/>
      <w:r w:rsidR="00C141EF" w:rsidRPr="00C141EF">
        <w:rPr>
          <w:lang w:val="en-GB"/>
        </w:rPr>
        <w:t xml:space="preserve"> areas (between 150 and 500 ha), the conversion to organic often concerns only part of their plots, particularly those on the </w:t>
      </w:r>
      <w:r w:rsidR="00D67D9D">
        <w:rPr>
          <w:lang w:val="en-GB"/>
        </w:rPr>
        <w:t xml:space="preserve">uplands. </w:t>
      </w:r>
      <w:r w:rsidR="00C141EF" w:rsidRPr="00C141EF">
        <w:rPr>
          <w:lang w:val="en-GB"/>
        </w:rPr>
        <w:t xml:space="preserve">Some smaller growers (less than 120 ha), located on </w:t>
      </w:r>
      <w:r w:rsidR="00D67D9D">
        <w:rPr>
          <w:lang w:val="en-GB"/>
        </w:rPr>
        <w:t>the uplands</w:t>
      </w:r>
      <w:r w:rsidR="00C141EF" w:rsidRPr="00C141EF">
        <w:rPr>
          <w:lang w:val="en-GB"/>
        </w:rPr>
        <w:t xml:space="preserve">, after a full organic conversion, introduce a livestock unit on their farm, </w:t>
      </w:r>
      <w:proofErr w:type="spellStart"/>
      <w:r w:rsidR="00C141EF" w:rsidRPr="00C141EF">
        <w:rPr>
          <w:lang w:val="en-GB"/>
        </w:rPr>
        <w:t>valorizing</w:t>
      </w:r>
      <w:proofErr w:type="spellEnd"/>
      <w:r w:rsidR="00C141EF" w:rsidRPr="00C141EF">
        <w:rPr>
          <w:lang w:val="en-GB"/>
        </w:rPr>
        <w:t xml:space="preserve"> alfalfa and other forage crops, or stop growing them in </w:t>
      </w:r>
      <w:proofErr w:type="spellStart"/>
      <w:r w:rsidR="00C141EF" w:rsidRPr="00C141EF">
        <w:rPr>
          <w:lang w:val="en-GB"/>
        </w:rPr>
        <w:t>favor</w:t>
      </w:r>
      <w:proofErr w:type="spellEnd"/>
      <w:r w:rsidR="00C141EF" w:rsidRPr="00C141EF">
        <w:rPr>
          <w:lang w:val="en-GB"/>
        </w:rPr>
        <w:t xml:space="preserve"> of a diversity of crops including grain legumes. Growing small areas of organic rice, they are improving the value of their produce through on-farm processing and short sales, or through seed production. As for historic cattle farmers, while they were often pioneers in converting to organic farming in their entirety, they are tending to significantly reduce the area under </w:t>
      </w:r>
      <w:r w:rsidR="0004065D">
        <w:rPr>
          <w:lang w:val="en-GB"/>
        </w:rPr>
        <w:t xml:space="preserve">organic </w:t>
      </w:r>
      <w:r w:rsidR="00C141EF" w:rsidRPr="00C141EF">
        <w:rPr>
          <w:lang w:val="en-GB"/>
        </w:rPr>
        <w:t xml:space="preserve">rice in </w:t>
      </w:r>
      <w:proofErr w:type="spellStart"/>
      <w:r w:rsidR="00C141EF" w:rsidRPr="00C141EF">
        <w:rPr>
          <w:lang w:val="en-GB"/>
        </w:rPr>
        <w:t>favor</w:t>
      </w:r>
      <w:proofErr w:type="spellEnd"/>
      <w:r w:rsidR="00C141EF" w:rsidRPr="00C141EF">
        <w:rPr>
          <w:lang w:val="en-GB"/>
        </w:rPr>
        <w:t xml:space="preserve"> of developing permanent grassland on lowlands</w:t>
      </w:r>
      <w:r w:rsidR="00A666AE">
        <w:rPr>
          <w:lang w:val="en-GB"/>
        </w:rPr>
        <w:t>. S</w:t>
      </w:r>
      <w:r w:rsidR="009C7488" w:rsidRPr="009C7488">
        <w:rPr>
          <w:lang w:val="en-GB"/>
        </w:rPr>
        <w:t xml:space="preserve">ome maintain organic rotations alternating rice and temporary meadows (including alfalfa) on the </w:t>
      </w:r>
      <w:proofErr w:type="gramStart"/>
      <w:r w:rsidR="009C7488" w:rsidRPr="009C7488">
        <w:rPr>
          <w:lang w:val="en-GB"/>
        </w:rPr>
        <w:t>uplands, but</w:t>
      </w:r>
      <w:proofErr w:type="gramEnd"/>
      <w:r w:rsidR="009C7488" w:rsidRPr="009C7488">
        <w:rPr>
          <w:lang w:val="en-GB"/>
        </w:rPr>
        <w:t xml:space="preserve"> may even delegate the cultivation of organic rice to </w:t>
      </w:r>
      <w:proofErr w:type="spellStart"/>
      <w:r w:rsidR="009C7488" w:rsidRPr="009C7488">
        <w:rPr>
          <w:lang w:val="en-GB"/>
        </w:rPr>
        <w:t>neighboring</w:t>
      </w:r>
      <w:proofErr w:type="spellEnd"/>
      <w:r w:rsidR="009C7488" w:rsidRPr="009C7488">
        <w:rPr>
          <w:lang w:val="en-GB"/>
        </w:rPr>
        <w:t xml:space="preserve"> growers. Converting to organic rice in Camargue has therefore been facilitated by the introduction of alfalfa. Thanks to the creation of exchange contracts between growers and breeders, it benefits a wide range of farms.</w:t>
      </w:r>
    </w:p>
    <w:p w14:paraId="4F031AA6" w14:textId="49CB0736" w:rsidR="00F8325D" w:rsidRPr="00F8325D" w:rsidRDefault="00F8325D" w:rsidP="009B76EB">
      <w:pPr>
        <w:jc w:val="both"/>
        <w:rPr>
          <w:rFonts w:eastAsia="ＭＳ 明朝" w:cs="Arial"/>
          <w:lang w:val="en-GB"/>
        </w:rPr>
      </w:pPr>
      <w:r w:rsidRPr="00F13271">
        <w:rPr>
          <w:rFonts w:eastAsia="ＭＳ 明朝" w:cs="Arial"/>
          <w:b/>
          <w:bCs/>
          <w:lang w:val="en-GB"/>
        </w:rPr>
        <w:t>Key words:</w:t>
      </w:r>
      <w:r w:rsidRPr="00F13271">
        <w:rPr>
          <w:rFonts w:eastAsia="ＭＳ 明朝" w:cs="Arial"/>
          <w:lang w:val="en-GB"/>
        </w:rPr>
        <w:t xml:space="preserve"> Livestock-crop interactions, </w:t>
      </w:r>
      <w:r>
        <w:rPr>
          <w:rFonts w:eastAsia="ＭＳ 明朝" w:cs="Arial"/>
          <w:lang w:val="en-GB"/>
        </w:rPr>
        <w:t xml:space="preserve">cropping systems, </w:t>
      </w:r>
      <w:r w:rsidRPr="00F13271">
        <w:rPr>
          <w:rFonts w:eastAsia="ＭＳ 明朝" w:cs="Arial"/>
          <w:lang w:val="en-GB"/>
        </w:rPr>
        <w:t xml:space="preserve">farmers’ trajectories, socio-economic </w:t>
      </w:r>
      <w:proofErr w:type="gramStart"/>
      <w:r w:rsidRPr="00F13271">
        <w:rPr>
          <w:rFonts w:eastAsia="ＭＳ 明朝" w:cs="Arial"/>
          <w:lang w:val="en-GB"/>
        </w:rPr>
        <w:t>factors</w:t>
      </w:r>
      <w:proofErr w:type="gramEnd"/>
    </w:p>
    <w:p w14:paraId="3547B1B4" w14:textId="3122E6B3" w:rsidR="00AB268D" w:rsidRPr="00D202C7" w:rsidRDefault="00F8325D" w:rsidP="00F8325D">
      <w:pPr>
        <w:jc w:val="both"/>
        <w:rPr>
          <w:b/>
        </w:rPr>
      </w:pPr>
      <w:r w:rsidRPr="00D202C7">
        <w:rPr>
          <w:b/>
        </w:rPr>
        <w:t>References :</w:t>
      </w:r>
    </w:p>
    <w:p w14:paraId="31C1AF2A" w14:textId="0CE070D9" w:rsidR="00AB0144" w:rsidRDefault="00AB0144" w:rsidP="00F8325D">
      <w:pPr>
        <w:spacing w:after="0"/>
        <w:ind w:left="709" w:hanging="709"/>
        <w:jc w:val="both"/>
        <w:rPr>
          <w:sz w:val="20"/>
        </w:rPr>
      </w:pPr>
      <w:r w:rsidRPr="00AB0144">
        <w:rPr>
          <w:sz w:val="20"/>
        </w:rPr>
        <w:t>Agreste</w:t>
      </w:r>
      <w:r w:rsidR="00F8325D">
        <w:rPr>
          <w:sz w:val="20"/>
        </w:rPr>
        <w:t xml:space="preserve">, </w:t>
      </w:r>
      <w:r w:rsidRPr="00AB0144">
        <w:rPr>
          <w:sz w:val="20"/>
        </w:rPr>
        <w:t>2020. « Fiche territoriale synthétique RA 2020 PNR de Camargue ». 2020. https://draaf.paca.agriculture.gouv.fr/IMG/html/fts_ra2020_pnr_fr8000011b2_pnr_de_camargue.html#annexes.</w:t>
      </w:r>
    </w:p>
    <w:p w14:paraId="1A79158E" w14:textId="42C8F090" w:rsidR="009B76EB" w:rsidRPr="009B76EB" w:rsidRDefault="009B76EB" w:rsidP="00F8325D">
      <w:pPr>
        <w:spacing w:after="0"/>
        <w:ind w:left="709" w:hanging="709"/>
        <w:jc w:val="both"/>
        <w:rPr>
          <w:sz w:val="20"/>
        </w:rPr>
      </w:pPr>
      <w:r w:rsidRPr="009B76EB">
        <w:rPr>
          <w:sz w:val="20"/>
        </w:rPr>
        <w:t xml:space="preserve">Delmotte S., Couderc V., </w:t>
      </w:r>
      <w:proofErr w:type="spellStart"/>
      <w:r w:rsidRPr="009B76EB">
        <w:rPr>
          <w:sz w:val="20"/>
        </w:rPr>
        <w:t>Hossard</w:t>
      </w:r>
      <w:proofErr w:type="spellEnd"/>
      <w:r w:rsidRPr="009B76EB">
        <w:rPr>
          <w:sz w:val="20"/>
        </w:rPr>
        <w:t xml:space="preserve"> L., Lacombe C., Mailly F., Mouret, J.C., </w:t>
      </w:r>
      <w:r w:rsidRPr="009B76EB">
        <w:rPr>
          <w:sz w:val="20"/>
          <w:lang w:val="es-ES"/>
        </w:rPr>
        <w:t>López</w:t>
      </w:r>
      <w:r w:rsidRPr="009B76EB">
        <w:rPr>
          <w:sz w:val="20"/>
        </w:rPr>
        <w:t>-</w:t>
      </w:r>
      <w:proofErr w:type="spellStart"/>
      <w:r w:rsidRPr="009B76EB">
        <w:rPr>
          <w:sz w:val="20"/>
        </w:rPr>
        <w:t>Ridaura</w:t>
      </w:r>
      <w:proofErr w:type="spellEnd"/>
      <w:r w:rsidRPr="009B76EB">
        <w:rPr>
          <w:sz w:val="20"/>
        </w:rPr>
        <w:t xml:space="preserve"> S., Barbier J.M., 2018. Freins et opportunités pour le développement de systèmes rizicoles biologiques en Camargue. In Mouret J.C., Leclerc B. (</w:t>
      </w:r>
      <w:proofErr w:type="spellStart"/>
      <w:r w:rsidRPr="009B76EB">
        <w:rPr>
          <w:sz w:val="20"/>
        </w:rPr>
        <w:t>coord</w:t>
      </w:r>
      <w:proofErr w:type="spellEnd"/>
      <w:r w:rsidRPr="009B76EB">
        <w:rPr>
          <w:sz w:val="20"/>
        </w:rPr>
        <w:t xml:space="preserve">). Le riz et la Camargue. Vers des agroécosystèmes durables. Cardère, </w:t>
      </w:r>
      <w:proofErr w:type="spellStart"/>
      <w:r w:rsidRPr="009B76EB">
        <w:rPr>
          <w:sz w:val="20"/>
        </w:rPr>
        <w:t>Educagri</w:t>
      </w:r>
      <w:proofErr w:type="spellEnd"/>
      <w:r w:rsidRPr="009B76EB">
        <w:rPr>
          <w:sz w:val="20"/>
        </w:rPr>
        <w:t> : 421-436.</w:t>
      </w:r>
    </w:p>
    <w:p w14:paraId="323CAB89" w14:textId="77777777" w:rsidR="00C32F12" w:rsidRDefault="00C32F12" w:rsidP="00F8325D">
      <w:pPr>
        <w:spacing w:after="0"/>
        <w:ind w:left="709" w:hanging="709"/>
        <w:jc w:val="both"/>
        <w:rPr>
          <w:sz w:val="20"/>
        </w:rPr>
      </w:pPr>
      <w:r w:rsidRPr="009B76EB">
        <w:rPr>
          <w:sz w:val="20"/>
        </w:rPr>
        <w:t>Michel I., Barbier J.M., Mouret J.C., 2018. La Camargue rizicole : un laboratoire à ciel ouvert pour former des ingénieurs agronomes. In Mouret J.C., Leclerc B. (</w:t>
      </w:r>
      <w:proofErr w:type="spellStart"/>
      <w:r w:rsidRPr="009B76EB">
        <w:rPr>
          <w:sz w:val="20"/>
        </w:rPr>
        <w:t>coord</w:t>
      </w:r>
      <w:proofErr w:type="spellEnd"/>
      <w:r w:rsidRPr="009B76EB">
        <w:rPr>
          <w:sz w:val="20"/>
        </w:rPr>
        <w:t xml:space="preserve">). Le riz et la Camargue. Vers des agroécosystèmes durables. Cardère, </w:t>
      </w:r>
      <w:proofErr w:type="spellStart"/>
      <w:r w:rsidRPr="009B76EB">
        <w:rPr>
          <w:sz w:val="20"/>
        </w:rPr>
        <w:t>Educagri</w:t>
      </w:r>
      <w:proofErr w:type="spellEnd"/>
      <w:r w:rsidRPr="009B76EB">
        <w:rPr>
          <w:sz w:val="20"/>
        </w:rPr>
        <w:t> : 85-95.</w:t>
      </w:r>
    </w:p>
    <w:p w14:paraId="5C8D78C7" w14:textId="77777777" w:rsidR="009B76EB" w:rsidRPr="009B76EB" w:rsidRDefault="009B76EB" w:rsidP="00F8325D">
      <w:pPr>
        <w:spacing w:after="0"/>
        <w:ind w:left="709" w:hanging="709"/>
        <w:jc w:val="both"/>
        <w:rPr>
          <w:sz w:val="20"/>
        </w:rPr>
      </w:pPr>
      <w:r w:rsidRPr="009B76EB">
        <w:rPr>
          <w:sz w:val="20"/>
        </w:rPr>
        <w:t xml:space="preserve">Moulin C.H., </w:t>
      </w:r>
      <w:proofErr w:type="spellStart"/>
      <w:r w:rsidRPr="009B76EB">
        <w:rPr>
          <w:sz w:val="20"/>
        </w:rPr>
        <w:t>Ingrand</w:t>
      </w:r>
      <w:proofErr w:type="spellEnd"/>
      <w:r w:rsidRPr="009B76EB">
        <w:rPr>
          <w:sz w:val="20"/>
        </w:rPr>
        <w:t xml:space="preserve"> S., </w:t>
      </w:r>
      <w:proofErr w:type="spellStart"/>
      <w:r w:rsidRPr="009B76EB">
        <w:rPr>
          <w:sz w:val="20"/>
        </w:rPr>
        <w:t>Lasseur</w:t>
      </w:r>
      <w:proofErr w:type="spellEnd"/>
      <w:r w:rsidRPr="009B76EB">
        <w:rPr>
          <w:sz w:val="20"/>
        </w:rPr>
        <w:t xml:space="preserve"> J., </w:t>
      </w:r>
      <w:proofErr w:type="spellStart"/>
      <w:r w:rsidRPr="009B76EB">
        <w:rPr>
          <w:sz w:val="20"/>
        </w:rPr>
        <w:t>Madelrieux</w:t>
      </w:r>
      <w:proofErr w:type="spellEnd"/>
      <w:r w:rsidRPr="009B76EB">
        <w:rPr>
          <w:sz w:val="20"/>
        </w:rPr>
        <w:t xml:space="preserve"> S., Napoléone M., Pluvinage J., </w:t>
      </w:r>
      <w:proofErr w:type="spellStart"/>
      <w:r w:rsidRPr="009B76EB">
        <w:rPr>
          <w:sz w:val="20"/>
        </w:rPr>
        <w:t>Thénard</w:t>
      </w:r>
      <w:proofErr w:type="spellEnd"/>
      <w:r w:rsidRPr="009B76EB">
        <w:rPr>
          <w:sz w:val="20"/>
        </w:rPr>
        <w:t xml:space="preserve"> V., 2008. Comprendre et analyser les changements d'organisation et de conduite de l’élevage dans un ensemble d’exploitations : propositions méthodologiques. </w:t>
      </w:r>
      <w:proofErr w:type="gramStart"/>
      <w:r w:rsidRPr="009B76EB">
        <w:rPr>
          <w:sz w:val="20"/>
        </w:rPr>
        <w:t>in</w:t>
      </w:r>
      <w:proofErr w:type="gramEnd"/>
      <w:r w:rsidRPr="009B76EB">
        <w:rPr>
          <w:sz w:val="20"/>
        </w:rPr>
        <w:t xml:space="preserve"> Dedieu B., Chia E., Leclerc B., Moulin C.H., Tichit M. (</w:t>
      </w:r>
      <w:proofErr w:type="spellStart"/>
      <w:r w:rsidRPr="009B76EB">
        <w:rPr>
          <w:sz w:val="20"/>
        </w:rPr>
        <w:t>eds</w:t>
      </w:r>
      <w:proofErr w:type="spellEnd"/>
      <w:r w:rsidRPr="009B76EB">
        <w:rPr>
          <w:sz w:val="20"/>
        </w:rPr>
        <w:t>) L’élevage en mouvement. Flexibilité et adaptation des exploitations d’herbivores, Paris, éditions QUAE : 181-196.</w:t>
      </w:r>
    </w:p>
    <w:p w14:paraId="3A5F4FDC" w14:textId="77777777" w:rsidR="00C32F12" w:rsidRPr="009C7488" w:rsidRDefault="00F13271" w:rsidP="00F8325D">
      <w:pPr>
        <w:spacing w:after="0"/>
        <w:ind w:left="709" w:hanging="709"/>
        <w:jc w:val="both"/>
        <w:rPr>
          <w:sz w:val="20"/>
        </w:rPr>
      </w:pPr>
      <w:r w:rsidRPr="009B76EB">
        <w:rPr>
          <w:sz w:val="20"/>
        </w:rPr>
        <w:t>Mouret J.C., 2018. La dynamique des recherches conduites en riziculture biologique camarguaise. In Mouret J.C., Leclerc B. (</w:t>
      </w:r>
      <w:proofErr w:type="spellStart"/>
      <w:r w:rsidRPr="009B76EB">
        <w:rPr>
          <w:sz w:val="20"/>
        </w:rPr>
        <w:t>coord</w:t>
      </w:r>
      <w:proofErr w:type="spellEnd"/>
      <w:r w:rsidRPr="009B76EB">
        <w:rPr>
          <w:sz w:val="20"/>
        </w:rPr>
        <w:t xml:space="preserve">). Le riz et la Camargue. Vers des agroécosystèmes durables. Cardère, </w:t>
      </w:r>
      <w:proofErr w:type="spellStart"/>
      <w:r w:rsidRPr="009B76EB">
        <w:rPr>
          <w:sz w:val="20"/>
        </w:rPr>
        <w:t>Educagri</w:t>
      </w:r>
      <w:proofErr w:type="spellEnd"/>
      <w:r w:rsidRPr="009B76EB">
        <w:rPr>
          <w:sz w:val="20"/>
        </w:rPr>
        <w:t> : 405-419.</w:t>
      </w:r>
    </w:p>
    <w:sectPr w:rsidR="00C32F12" w:rsidRPr="009C7488">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F950A" w14:textId="77777777" w:rsidR="00DE6DE0" w:rsidRDefault="00DE6DE0" w:rsidP="00D202C7">
      <w:pPr>
        <w:spacing w:after="0" w:line="240" w:lineRule="auto"/>
      </w:pPr>
      <w:r>
        <w:separator/>
      </w:r>
    </w:p>
  </w:endnote>
  <w:endnote w:type="continuationSeparator" w:id="0">
    <w:p w14:paraId="318A17F0" w14:textId="77777777" w:rsidR="00DE6DE0" w:rsidRDefault="00DE6DE0" w:rsidP="00D2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408195645"/>
      <w:docPartObj>
        <w:docPartGallery w:val="Page Numbers (Bottom of Page)"/>
        <w:docPartUnique/>
      </w:docPartObj>
    </w:sdtPr>
    <w:sdtEndPr>
      <w:rPr>
        <w:rStyle w:val="ad"/>
      </w:rPr>
    </w:sdtEndPr>
    <w:sdtContent>
      <w:p w14:paraId="492CEAB4" w14:textId="14862E60" w:rsidR="00D202C7" w:rsidRDefault="00D202C7" w:rsidP="0077649A">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3CEF7374" w14:textId="77777777" w:rsidR="00D202C7" w:rsidRDefault="00D202C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786813613"/>
      <w:docPartObj>
        <w:docPartGallery w:val="Page Numbers (Bottom of Page)"/>
        <w:docPartUnique/>
      </w:docPartObj>
    </w:sdtPr>
    <w:sdtEndPr>
      <w:rPr>
        <w:rStyle w:val="ad"/>
      </w:rPr>
    </w:sdtEndPr>
    <w:sdtContent>
      <w:p w14:paraId="65102472" w14:textId="7890F039" w:rsidR="00D202C7" w:rsidRDefault="00D202C7" w:rsidP="0077649A">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sdtContent>
  </w:sdt>
  <w:p w14:paraId="3A5B8BD4" w14:textId="77777777" w:rsidR="00D202C7" w:rsidRDefault="00D202C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0684" w14:textId="77777777" w:rsidR="00DE6DE0" w:rsidRDefault="00DE6DE0" w:rsidP="00D202C7">
      <w:pPr>
        <w:spacing w:after="0" w:line="240" w:lineRule="auto"/>
      </w:pPr>
      <w:r>
        <w:separator/>
      </w:r>
    </w:p>
  </w:footnote>
  <w:footnote w:type="continuationSeparator" w:id="0">
    <w:p w14:paraId="13D245C7" w14:textId="77777777" w:rsidR="00DE6DE0" w:rsidRDefault="00DE6DE0" w:rsidP="00D202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68D"/>
    <w:rsid w:val="00033A0D"/>
    <w:rsid w:val="0004065D"/>
    <w:rsid w:val="0005336A"/>
    <w:rsid w:val="000B6669"/>
    <w:rsid w:val="00200667"/>
    <w:rsid w:val="002A718E"/>
    <w:rsid w:val="00330D29"/>
    <w:rsid w:val="003A3348"/>
    <w:rsid w:val="003B6967"/>
    <w:rsid w:val="0042588F"/>
    <w:rsid w:val="004744D9"/>
    <w:rsid w:val="004D1444"/>
    <w:rsid w:val="006D5430"/>
    <w:rsid w:val="00716F34"/>
    <w:rsid w:val="007761C5"/>
    <w:rsid w:val="007B1849"/>
    <w:rsid w:val="007B1C94"/>
    <w:rsid w:val="00867878"/>
    <w:rsid w:val="00955AD6"/>
    <w:rsid w:val="009B76EB"/>
    <w:rsid w:val="009C7488"/>
    <w:rsid w:val="009D3A5A"/>
    <w:rsid w:val="00A666AE"/>
    <w:rsid w:val="00AB0144"/>
    <w:rsid w:val="00AB268D"/>
    <w:rsid w:val="00B06887"/>
    <w:rsid w:val="00C07742"/>
    <w:rsid w:val="00C141EF"/>
    <w:rsid w:val="00C32F12"/>
    <w:rsid w:val="00CA3F42"/>
    <w:rsid w:val="00D02EE8"/>
    <w:rsid w:val="00D202C7"/>
    <w:rsid w:val="00D67D9D"/>
    <w:rsid w:val="00DE2999"/>
    <w:rsid w:val="00DE6DE0"/>
    <w:rsid w:val="00E069F3"/>
    <w:rsid w:val="00F13271"/>
    <w:rsid w:val="00F707C9"/>
    <w:rsid w:val="00F8325D"/>
    <w:rsid w:val="00FF70A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567185"/>
  <w15:chartTrackingRefBased/>
  <w15:docId w15:val="{93E298B4-6AB8-4D76-B5B1-AE2EBF46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texte CHM"/>
    <w:qFormat/>
    <w:rsid w:val="00716F34"/>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f0">
    <w:name w:val="pf0"/>
    <w:basedOn w:val="a"/>
    <w:rsid w:val="009B76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a0"/>
    <w:rsid w:val="009B76EB"/>
    <w:rPr>
      <w:rFonts w:ascii="Segoe UI" w:hAnsi="Segoe UI" w:cs="Segoe UI" w:hint="default"/>
      <w:b/>
      <w:bCs/>
      <w:sz w:val="18"/>
      <w:szCs w:val="18"/>
    </w:rPr>
  </w:style>
  <w:style w:type="character" w:styleId="a3">
    <w:name w:val="annotation reference"/>
    <w:basedOn w:val="a0"/>
    <w:uiPriority w:val="99"/>
    <w:semiHidden/>
    <w:unhideWhenUsed/>
    <w:rsid w:val="00FF70A8"/>
    <w:rPr>
      <w:sz w:val="16"/>
      <w:szCs w:val="16"/>
    </w:rPr>
  </w:style>
  <w:style w:type="paragraph" w:styleId="a4">
    <w:name w:val="annotation text"/>
    <w:basedOn w:val="a"/>
    <w:link w:val="a5"/>
    <w:uiPriority w:val="99"/>
    <w:semiHidden/>
    <w:unhideWhenUsed/>
    <w:rsid w:val="00FF70A8"/>
    <w:pPr>
      <w:spacing w:line="240" w:lineRule="auto"/>
    </w:pPr>
    <w:rPr>
      <w:sz w:val="20"/>
      <w:szCs w:val="20"/>
    </w:rPr>
  </w:style>
  <w:style w:type="character" w:customStyle="1" w:styleId="a5">
    <w:name w:val="コメント文字列 (文字)"/>
    <w:basedOn w:val="a0"/>
    <w:link w:val="a4"/>
    <w:uiPriority w:val="99"/>
    <w:semiHidden/>
    <w:rsid w:val="00FF70A8"/>
    <w:rPr>
      <w:rFonts w:ascii="Arial" w:hAnsi="Arial"/>
      <w:sz w:val="20"/>
      <w:szCs w:val="20"/>
    </w:rPr>
  </w:style>
  <w:style w:type="paragraph" w:styleId="a6">
    <w:name w:val="annotation subject"/>
    <w:basedOn w:val="a4"/>
    <w:next w:val="a4"/>
    <w:link w:val="a7"/>
    <w:uiPriority w:val="99"/>
    <w:semiHidden/>
    <w:unhideWhenUsed/>
    <w:rsid w:val="00FF70A8"/>
    <w:rPr>
      <w:b/>
      <w:bCs/>
    </w:rPr>
  </w:style>
  <w:style w:type="character" w:customStyle="1" w:styleId="a7">
    <w:name w:val="コメント内容 (文字)"/>
    <w:basedOn w:val="a5"/>
    <w:link w:val="a6"/>
    <w:uiPriority w:val="99"/>
    <w:semiHidden/>
    <w:rsid w:val="00FF70A8"/>
    <w:rPr>
      <w:rFonts w:ascii="Arial" w:hAnsi="Arial"/>
      <w:b/>
      <w:bCs/>
      <w:sz w:val="20"/>
      <w:szCs w:val="20"/>
    </w:rPr>
  </w:style>
  <w:style w:type="paragraph" w:styleId="a8">
    <w:name w:val="Revision"/>
    <w:hidden/>
    <w:uiPriority w:val="99"/>
    <w:semiHidden/>
    <w:rsid w:val="00FF70A8"/>
    <w:pPr>
      <w:spacing w:after="0" w:line="240" w:lineRule="auto"/>
    </w:pPr>
    <w:rPr>
      <w:rFonts w:ascii="Arial" w:hAnsi="Arial"/>
    </w:rPr>
  </w:style>
  <w:style w:type="paragraph" w:styleId="a9">
    <w:name w:val="Balloon Text"/>
    <w:basedOn w:val="a"/>
    <w:link w:val="aa"/>
    <w:uiPriority w:val="99"/>
    <w:semiHidden/>
    <w:unhideWhenUsed/>
    <w:rsid w:val="004D1444"/>
    <w:pPr>
      <w:spacing w:after="0" w:line="240" w:lineRule="auto"/>
    </w:pPr>
    <w:rPr>
      <w:rFonts w:ascii="Times New Roman" w:hAnsi="Times New Roman" w:cs="Times New Roman"/>
      <w:sz w:val="18"/>
      <w:szCs w:val="18"/>
    </w:rPr>
  </w:style>
  <w:style w:type="character" w:customStyle="1" w:styleId="aa">
    <w:name w:val="吹き出し (文字)"/>
    <w:basedOn w:val="a0"/>
    <w:link w:val="a9"/>
    <w:uiPriority w:val="99"/>
    <w:semiHidden/>
    <w:rsid w:val="004D1444"/>
    <w:rPr>
      <w:rFonts w:ascii="Times New Roman" w:hAnsi="Times New Roman" w:cs="Times New Roman"/>
      <w:sz w:val="18"/>
      <w:szCs w:val="18"/>
    </w:rPr>
  </w:style>
  <w:style w:type="paragraph" w:styleId="ab">
    <w:name w:val="footer"/>
    <w:basedOn w:val="a"/>
    <w:link w:val="ac"/>
    <w:uiPriority w:val="99"/>
    <w:unhideWhenUsed/>
    <w:rsid w:val="00D202C7"/>
    <w:pPr>
      <w:tabs>
        <w:tab w:val="center" w:pos="4536"/>
        <w:tab w:val="right" w:pos="9072"/>
      </w:tabs>
      <w:spacing w:after="0" w:line="240" w:lineRule="auto"/>
    </w:pPr>
  </w:style>
  <w:style w:type="character" w:customStyle="1" w:styleId="ac">
    <w:name w:val="フッター (文字)"/>
    <w:basedOn w:val="a0"/>
    <w:link w:val="ab"/>
    <w:uiPriority w:val="99"/>
    <w:rsid w:val="00D202C7"/>
    <w:rPr>
      <w:rFonts w:ascii="Arial" w:hAnsi="Arial"/>
    </w:rPr>
  </w:style>
  <w:style w:type="character" w:styleId="ad">
    <w:name w:val="page number"/>
    <w:basedOn w:val="a0"/>
    <w:uiPriority w:val="99"/>
    <w:semiHidden/>
    <w:unhideWhenUsed/>
    <w:rsid w:val="00D20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1147</Words>
  <Characters>6539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Charles-Henri MOULIN</dc:creator>
  <cp:keywords/>
  <dc:description/>
  <cp:lastModifiedBy>石井　圭一</cp:lastModifiedBy>
  <cp:revision>2</cp:revision>
  <dcterms:created xsi:type="dcterms:W3CDTF">2023-06-19T02:07:00Z</dcterms:created>
  <dcterms:modified xsi:type="dcterms:W3CDTF">2023-06-19T02:07:00Z</dcterms:modified>
</cp:coreProperties>
</file>